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3F69" w:rsidRPr="006472BB" w:rsidRDefault="00A33F69" w:rsidP="00A33F69">
      <w:pPr>
        <w:pStyle w:val="2"/>
        <w:rPr>
          <w:szCs w:val="24"/>
          <w:rtl/>
        </w:rPr>
      </w:pPr>
    </w:p>
    <w:p w:rsidR="00A33F69" w:rsidRDefault="00A33F69" w:rsidP="00A33F69">
      <w:pPr>
        <w:pStyle w:val="2"/>
        <w:jc w:val="center"/>
        <w:rPr>
          <w:szCs w:val="24"/>
          <w:u w:val="single"/>
          <w:rtl/>
        </w:rPr>
      </w:pPr>
      <w:r w:rsidRPr="006472BB">
        <w:rPr>
          <w:rFonts w:hint="cs"/>
          <w:szCs w:val="24"/>
          <w:rtl/>
        </w:rPr>
        <w:t xml:space="preserve">הנדון: </w:t>
      </w:r>
      <w:r w:rsidRPr="006472BB">
        <w:rPr>
          <w:rFonts w:hint="cs"/>
          <w:szCs w:val="24"/>
          <w:u w:val="single"/>
          <w:rtl/>
        </w:rPr>
        <w:t xml:space="preserve">שאלות ותשובות למכרז </w:t>
      </w:r>
      <w:r>
        <w:rPr>
          <w:rFonts w:hint="cs"/>
          <w:szCs w:val="24"/>
          <w:u w:val="single"/>
          <w:rtl/>
        </w:rPr>
        <w:t>44/12 למתן שירותי ייצוג משפטי בהליכים פליליים</w:t>
      </w:r>
    </w:p>
    <w:p w:rsidR="00053498" w:rsidRDefault="00053498" w:rsidP="00053498">
      <w:pPr>
        <w:rPr>
          <w:rtl/>
        </w:rPr>
      </w:pPr>
    </w:p>
    <w:p w:rsidR="00053498" w:rsidRPr="00053498" w:rsidRDefault="00053498" w:rsidP="00053498">
      <w:pPr>
        <w:rPr>
          <w:rtl/>
        </w:rPr>
      </w:pPr>
      <w:r>
        <w:rPr>
          <w:rFonts w:hint="cs"/>
          <w:rtl/>
        </w:rPr>
        <w:t>המשרד מתכבד להשיב לשאלות הבהרה ובקשות שהוגשו במסגרת המכרז שבנדון, כדלקמן:</w:t>
      </w:r>
    </w:p>
    <w:p w:rsidR="00A33F69" w:rsidRPr="006472BB" w:rsidRDefault="00A33F69" w:rsidP="00A33F69">
      <w:pPr>
        <w:rPr>
          <w:szCs w:val="24"/>
          <w:rtl/>
        </w:rPr>
      </w:pPr>
    </w:p>
    <w:tbl>
      <w:tblPr>
        <w:bidiVisual/>
        <w:tblW w:w="14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05"/>
        <w:gridCol w:w="6073"/>
        <w:gridCol w:w="7655"/>
      </w:tblGrid>
      <w:tr w:rsidR="00A33F69" w:rsidRPr="006472BB" w:rsidTr="00A9789E">
        <w:tc>
          <w:tcPr>
            <w:tcW w:w="905" w:type="dxa"/>
          </w:tcPr>
          <w:p w:rsidR="00A33F69" w:rsidRPr="006472BB" w:rsidRDefault="00A33F69" w:rsidP="00A9789E">
            <w:pPr>
              <w:jc w:val="center"/>
              <w:rPr>
                <w:szCs w:val="24"/>
                <w:rtl/>
              </w:rPr>
            </w:pPr>
          </w:p>
        </w:tc>
        <w:tc>
          <w:tcPr>
            <w:tcW w:w="6073" w:type="dxa"/>
          </w:tcPr>
          <w:p w:rsidR="00A33F69" w:rsidRDefault="00A33F69" w:rsidP="00A9789E">
            <w:pPr>
              <w:jc w:val="center"/>
              <w:rPr>
                <w:b/>
                <w:bCs/>
                <w:szCs w:val="24"/>
                <w:rtl/>
              </w:rPr>
            </w:pPr>
          </w:p>
          <w:p w:rsidR="00A33F69" w:rsidRPr="006472BB" w:rsidRDefault="00A33F69" w:rsidP="00A9789E">
            <w:pPr>
              <w:jc w:val="center"/>
              <w:rPr>
                <w:b/>
                <w:bCs/>
                <w:szCs w:val="24"/>
                <w:rtl/>
              </w:rPr>
            </w:pPr>
            <w:r w:rsidRPr="006472BB">
              <w:rPr>
                <w:rFonts w:hint="cs"/>
                <w:b/>
                <w:bCs/>
                <w:szCs w:val="24"/>
                <w:rtl/>
              </w:rPr>
              <w:t>שאלות</w:t>
            </w:r>
          </w:p>
          <w:p w:rsidR="00A33F69" w:rsidRPr="006472BB" w:rsidRDefault="00A33F69" w:rsidP="00A9789E">
            <w:pPr>
              <w:jc w:val="center"/>
              <w:rPr>
                <w:b/>
                <w:bCs/>
                <w:szCs w:val="24"/>
                <w:rtl/>
              </w:rPr>
            </w:pPr>
          </w:p>
        </w:tc>
        <w:tc>
          <w:tcPr>
            <w:tcW w:w="7655" w:type="dxa"/>
          </w:tcPr>
          <w:p w:rsidR="00A33F69" w:rsidRDefault="00A33F69" w:rsidP="00A9789E">
            <w:pPr>
              <w:jc w:val="center"/>
              <w:rPr>
                <w:b/>
                <w:bCs/>
                <w:szCs w:val="24"/>
                <w:rtl/>
              </w:rPr>
            </w:pPr>
          </w:p>
          <w:p w:rsidR="00A33F69" w:rsidRPr="006472BB" w:rsidRDefault="00A33F69" w:rsidP="00A9789E">
            <w:pPr>
              <w:jc w:val="center"/>
              <w:rPr>
                <w:b/>
                <w:bCs/>
                <w:szCs w:val="24"/>
                <w:rtl/>
              </w:rPr>
            </w:pPr>
            <w:r w:rsidRPr="006472BB">
              <w:rPr>
                <w:rFonts w:hint="cs"/>
                <w:b/>
                <w:bCs/>
                <w:szCs w:val="24"/>
                <w:rtl/>
              </w:rPr>
              <w:t>תשובות</w:t>
            </w:r>
          </w:p>
        </w:tc>
      </w:tr>
      <w:tr w:rsidR="00A33F69" w:rsidRPr="006472BB" w:rsidTr="00A9789E">
        <w:tc>
          <w:tcPr>
            <w:tcW w:w="905" w:type="dxa"/>
          </w:tcPr>
          <w:p w:rsidR="00A33F69" w:rsidRDefault="00A33F69" w:rsidP="00A9789E">
            <w:pPr>
              <w:ind w:left="360"/>
              <w:jc w:val="center"/>
              <w:rPr>
                <w:szCs w:val="24"/>
                <w:rtl/>
              </w:rPr>
            </w:pPr>
            <w:r>
              <w:rPr>
                <w:rFonts w:hint="cs"/>
                <w:szCs w:val="24"/>
                <w:rtl/>
              </w:rPr>
              <w:t>1</w:t>
            </w:r>
          </w:p>
        </w:tc>
        <w:tc>
          <w:tcPr>
            <w:tcW w:w="6073" w:type="dxa"/>
          </w:tcPr>
          <w:p w:rsidR="00A33F69" w:rsidRPr="009F407E" w:rsidRDefault="00A33F69" w:rsidP="00A9789E">
            <w:pPr>
              <w:spacing w:line="360" w:lineRule="auto"/>
              <w:rPr>
                <w:rtl/>
              </w:rPr>
            </w:pPr>
            <w:r>
              <w:rPr>
                <w:rFonts w:hint="cs"/>
                <w:rtl/>
              </w:rPr>
              <w:t>באלו שעות ניתן להגיש את המעטפה עם ההצעה?</w:t>
            </w:r>
          </w:p>
        </w:tc>
        <w:tc>
          <w:tcPr>
            <w:tcW w:w="7655" w:type="dxa"/>
          </w:tcPr>
          <w:p w:rsidR="00A33F69" w:rsidRPr="009F407E" w:rsidRDefault="00A33F69" w:rsidP="00A9789E">
            <w:pPr>
              <w:spacing w:line="360" w:lineRule="auto"/>
              <w:jc w:val="both"/>
              <w:rPr>
                <w:rtl/>
              </w:rPr>
            </w:pPr>
            <w:r>
              <w:rPr>
                <w:rFonts w:hint="cs"/>
                <w:rtl/>
              </w:rPr>
              <w:t>התיבה תהיה פתוחה בכל שעות היממה, עד ליום ההגשה בשעה 14:00.</w:t>
            </w:r>
          </w:p>
        </w:tc>
      </w:tr>
      <w:tr w:rsidR="00A33F69" w:rsidRPr="006472BB" w:rsidTr="00A9789E">
        <w:tc>
          <w:tcPr>
            <w:tcW w:w="905" w:type="dxa"/>
          </w:tcPr>
          <w:p w:rsidR="00A33F69" w:rsidRPr="00674C00" w:rsidRDefault="00A33F69" w:rsidP="00A9789E">
            <w:pPr>
              <w:ind w:left="360"/>
              <w:jc w:val="center"/>
              <w:rPr>
                <w:szCs w:val="24"/>
                <w:rtl/>
              </w:rPr>
            </w:pPr>
            <w:r>
              <w:rPr>
                <w:rFonts w:hint="cs"/>
                <w:szCs w:val="24"/>
                <w:rtl/>
              </w:rPr>
              <w:t>2</w:t>
            </w:r>
          </w:p>
        </w:tc>
        <w:tc>
          <w:tcPr>
            <w:tcW w:w="6073" w:type="dxa"/>
          </w:tcPr>
          <w:p w:rsidR="00A33F69" w:rsidRPr="006472BB" w:rsidRDefault="00A33F69" w:rsidP="00A9789E">
            <w:pPr>
              <w:spacing w:line="360" w:lineRule="auto"/>
              <w:rPr>
                <w:szCs w:val="24"/>
                <w:rtl/>
              </w:rPr>
            </w:pPr>
            <w:r w:rsidRPr="009F407E">
              <w:rPr>
                <w:rFonts w:hint="cs"/>
                <w:rtl/>
              </w:rPr>
              <w:t>האם יש להגיש הצעת מחיר כלשהיא, או שנספח התעריפים הוא הצעת המחיר שתוגש?</w:t>
            </w:r>
          </w:p>
        </w:tc>
        <w:tc>
          <w:tcPr>
            <w:tcW w:w="7655" w:type="dxa"/>
          </w:tcPr>
          <w:p w:rsidR="00A33F69" w:rsidRPr="006472BB" w:rsidRDefault="00A33F69" w:rsidP="00A9789E">
            <w:pPr>
              <w:spacing w:line="360" w:lineRule="auto"/>
              <w:jc w:val="both"/>
              <w:rPr>
                <w:szCs w:val="24"/>
                <w:rtl/>
              </w:rPr>
            </w:pPr>
            <w:r w:rsidRPr="009F407E">
              <w:rPr>
                <w:rFonts w:hint="cs"/>
                <w:rtl/>
              </w:rPr>
              <w:t xml:space="preserve">נספח התעריפים </w:t>
            </w:r>
            <w:r w:rsidRPr="009F407E">
              <w:rPr>
                <w:rtl/>
              </w:rPr>
              <w:t>–</w:t>
            </w:r>
            <w:r w:rsidRPr="009F407E">
              <w:rPr>
                <w:rFonts w:hint="cs"/>
                <w:rtl/>
              </w:rPr>
              <w:t xml:space="preserve"> נספח </w:t>
            </w:r>
            <w:r>
              <w:rPr>
                <w:rFonts w:hint="cs"/>
                <w:rtl/>
              </w:rPr>
              <w:t>ג' לה</w:t>
            </w:r>
            <w:r w:rsidRPr="009F407E">
              <w:rPr>
                <w:rFonts w:hint="cs"/>
                <w:rtl/>
              </w:rPr>
              <w:t xml:space="preserve">סכם </w:t>
            </w:r>
            <w:r w:rsidRPr="009F407E">
              <w:rPr>
                <w:rtl/>
              </w:rPr>
              <w:t>–</w:t>
            </w:r>
            <w:r w:rsidRPr="009F407E">
              <w:rPr>
                <w:rFonts w:hint="cs"/>
                <w:rtl/>
              </w:rPr>
              <w:t xml:space="preserve"> הוא הצעת המחיר אשר תוגש במעטפה נפרדת כפי ש</w:t>
            </w:r>
            <w:r>
              <w:rPr>
                <w:rFonts w:hint="cs"/>
                <w:rtl/>
              </w:rPr>
              <w:t>נדרש</w:t>
            </w:r>
            <w:r w:rsidRPr="009F407E">
              <w:rPr>
                <w:rFonts w:hint="cs"/>
                <w:rtl/>
              </w:rPr>
              <w:t xml:space="preserve"> בסעיף 14 (א) למכרז.</w:t>
            </w:r>
          </w:p>
        </w:tc>
      </w:tr>
      <w:tr w:rsidR="00A33F69" w:rsidRPr="006472BB" w:rsidTr="00A9789E">
        <w:tc>
          <w:tcPr>
            <w:tcW w:w="905" w:type="dxa"/>
          </w:tcPr>
          <w:p w:rsidR="00A33F69" w:rsidRPr="00674C00" w:rsidRDefault="00A33F69" w:rsidP="00A9789E">
            <w:pPr>
              <w:ind w:left="360"/>
              <w:jc w:val="center"/>
              <w:rPr>
                <w:szCs w:val="24"/>
                <w:rtl/>
              </w:rPr>
            </w:pPr>
            <w:r>
              <w:rPr>
                <w:rFonts w:hint="cs"/>
                <w:szCs w:val="24"/>
                <w:rtl/>
              </w:rPr>
              <w:t>3</w:t>
            </w:r>
          </w:p>
        </w:tc>
        <w:tc>
          <w:tcPr>
            <w:tcW w:w="6073" w:type="dxa"/>
          </w:tcPr>
          <w:p w:rsidR="00A33F69" w:rsidRPr="006472BB" w:rsidRDefault="00A33F69" w:rsidP="00A9789E">
            <w:pPr>
              <w:spacing w:line="360" w:lineRule="auto"/>
              <w:rPr>
                <w:szCs w:val="24"/>
                <w:rtl/>
              </w:rPr>
            </w:pPr>
            <w:r>
              <w:rPr>
                <w:rFonts w:hint="cs"/>
                <w:rtl/>
              </w:rPr>
              <w:t>האם חובה להציג את הביטוחים (ביטוח צד שלישי וביטוח אחריות מקצועית) עם הגשת ההצעה, או שניתן להתחייב להמציא את הביטוחים תוך 14 ימים מיום שהמועמד נבחר?</w:t>
            </w:r>
          </w:p>
        </w:tc>
        <w:tc>
          <w:tcPr>
            <w:tcW w:w="7655" w:type="dxa"/>
          </w:tcPr>
          <w:p w:rsidR="00A33F69" w:rsidRPr="006472BB" w:rsidRDefault="00A33F69" w:rsidP="00A9789E">
            <w:pPr>
              <w:spacing w:line="360" w:lineRule="auto"/>
              <w:jc w:val="both"/>
              <w:rPr>
                <w:szCs w:val="24"/>
                <w:rtl/>
              </w:rPr>
            </w:pPr>
            <w:r>
              <w:rPr>
                <w:rFonts w:hint="cs"/>
                <w:rtl/>
              </w:rPr>
              <w:t>הצגת כל הביטוחים המופיעים בסעיף 18 למכרז הם תנאי לביצוע ההתקשרות, ותנאי לחתימה על ההסכם. אין חובה להציגם בשלב הגשת ההצעה למכרז.</w:t>
            </w:r>
          </w:p>
        </w:tc>
      </w:tr>
      <w:tr w:rsidR="00A33F69" w:rsidRPr="006472BB" w:rsidTr="00A9789E">
        <w:tc>
          <w:tcPr>
            <w:tcW w:w="905" w:type="dxa"/>
          </w:tcPr>
          <w:p w:rsidR="00A33F69" w:rsidRPr="00674C00" w:rsidRDefault="00A33F69" w:rsidP="00A9789E">
            <w:pPr>
              <w:ind w:left="360"/>
              <w:rPr>
                <w:szCs w:val="24"/>
                <w:rtl/>
              </w:rPr>
            </w:pPr>
            <w:r>
              <w:rPr>
                <w:rFonts w:hint="cs"/>
                <w:szCs w:val="24"/>
                <w:rtl/>
              </w:rPr>
              <w:t>4</w:t>
            </w:r>
          </w:p>
        </w:tc>
        <w:tc>
          <w:tcPr>
            <w:tcW w:w="6073" w:type="dxa"/>
          </w:tcPr>
          <w:p w:rsidR="00A33F69" w:rsidRPr="006472BB" w:rsidRDefault="00A33F69" w:rsidP="00A9789E">
            <w:pPr>
              <w:spacing w:line="360" w:lineRule="auto"/>
              <w:rPr>
                <w:rFonts w:ascii="Arial" w:hAnsi="Arial"/>
                <w:szCs w:val="24"/>
                <w:rtl/>
              </w:rPr>
            </w:pPr>
            <w:r>
              <w:rPr>
                <w:rFonts w:ascii="Arial" w:hAnsi="Arial" w:hint="cs"/>
                <w:szCs w:val="24"/>
                <w:rtl/>
              </w:rPr>
              <w:t>האם על הבעלים של המשרד להגיש את המכרז בשם המשרד כגורם האחראי בעניין ולרשום את עוה"ד שיטפלו בנושאי המכרז, או שמא על עוה"ד שיטפלו אישית בנושאי המכרז להגיש את מסמכי המכרז באופן עצמאי?</w:t>
            </w:r>
          </w:p>
        </w:tc>
        <w:tc>
          <w:tcPr>
            <w:tcW w:w="7655" w:type="dxa"/>
          </w:tcPr>
          <w:p w:rsidR="00A33F69" w:rsidRDefault="00A33F69" w:rsidP="00A9789E">
            <w:pPr>
              <w:rPr>
                <w:szCs w:val="24"/>
              </w:rPr>
            </w:pPr>
            <w:r>
              <w:rPr>
                <w:szCs w:val="24"/>
                <w:rtl/>
              </w:rPr>
              <w:t xml:space="preserve">אין הכרח כי הבעלים של המשרד יבצע את השירותים בעצמו. </w:t>
            </w:r>
            <w:r>
              <w:rPr>
                <w:rFonts w:hint="cs"/>
                <w:szCs w:val="24"/>
                <w:rtl/>
              </w:rPr>
              <w:t xml:space="preserve">המשרד רשאי להגיש את הצעתו, כאשר </w:t>
            </w:r>
            <w:r>
              <w:rPr>
                <w:szCs w:val="24"/>
                <w:rtl/>
              </w:rPr>
              <w:t>השירותים יכולים להתבצע על ידי עורכי דין שכירים במשרד, ובלבד שכל מבצע והאחראי המקצועי עומדים בתנאי המכרז.</w:t>
            </w:r>
          </w:p>
          <w:p w:rsidR="00A33F69" w:rsidRPr="00DD6236" w:rsidRDefault="00A33F69" w:rsidP="00A9789E">
            <w:pPr>
              <w:spacing w:line="360" w:lineRule="auto"/>
              <w:jc w:val="both"/>
              <w:rPr>
                <w:szCs w:val="24"/>
                <w:rtl/>
              </w:rPr>
            </w:pPr>
          </w:p>
        </w:tc>
      </w:tr>
      <w:tr w:rsidR="00A33F69" w:rsidRPr="006472BB" w:rsidTr="00A9789E">
        <w:tc>
          <w:tcPr>
            <w:tcW w:w="905" w:type="dxa"/>
          </w:tcPr>
          <w:p w:rsidR="00A33F69" w:rsidRPr="00DD6236" w:rsidRDefault="00A33F69" w:rsidP="00A9789E">
            <w:pPr>
              <w:ind w:left="360"/>
              <w:jc w:val="center"/>
              <w:rPr>
                <w:szCs w:val="24"/>
                <w:rtl/>
              </w:rPr>
            </w:pPr>
            <w:r>
              <w:rPr>
                <w:rFonts w:hint="cs"/>
                <w:szCs w:val="24"/>
                <w:rtl/>
              </w:rPr>
              <w:t>5</w:t>
            </w:r>
          </w:p>
        </w:tc>
        <w:tc>
          <w:tcPr>
            <w:tcW w:w="6073" w:type="dxa"/>
          </w:tcPr>
          <w:p w:rsidR="00A33F69" w:rsidRPr="006472BB" w:rsidRDefault="00A33F69" w:rsidP="00A9789E">
            <w:pPr>
              <w:spacing w:line="360" w:lineRule="auto"/>
              <w:jc w:val="both"/>
              <w:rPr>
                <w:szCs w:val="24"/>
                <w:rtl/>
              </w:rPr>
            </w:pPr>
            <w:r>
              <w:rPr>
                <w:rFonts w:hint="cs"/>
                <w:szCs w:val="24"/>
                <w:rtl/>
              </w:rPr>
              <w:t>מה נכלל למעשה בטיפול בהליך המקדמי? ומי מחליט על הגשת כתב האישום? התובע שזוכה צריך לנתח את העבירות? או שמחלקה משפטית במשרדכם מנתחת את העבירות ומחליטה כי יש מקום להגיש כתב אישום?</w:t>
            </w:r>
          </w:p>
        </w:tc>
        <w:tc>
          <w:tcPr>
            <w:tcW w:w="7655" w:type="dxa"/>
          </w:tcPr>
          <w:p w:rsidR="00A33F69" w:rsidRDefault="00A33F69" w:rsidP="00A9789E">
            <w:pPr>
              <w:rPr>
                <w:szCs w:val="24"/>
              </w:rPr>
            </w:pPr>
            <w:r>
              <w:rPr>
                <w:szCs w:val="24"/>
                <w:rtl/>
              </w:rPr>
              <w:t xml:space="preserve">עבודת התובעים החיצוניים - הזוכים במכרז - כפופה להנחיות הלשכה המשפטית במשרד. התובעים עשויים להידרש לבחינת תיקי החקירה בכל שלב משלבי החקירה, </w:t>
            </w:r>
            <w:r>
              <w:rPr>
                <w:rFonts w:hint="cs"/>
                <w:szCs w:val="24"/>
                <w:rtl/>
              </w:rPr>
              <w:t>על פי רוב</w:t>
            </w:r>
            <w:r>
              <w:rPr>
                <w:szCs w:val="24"/>
                <w:rtl/>
              </w:rPr>
              <w:t xml:space="preserve"> בסופה ובטרם הטלת קנס מינהלי על ידי מפקח. ההחלטות השונות </w:t>
            </w:r>
            <w:r>
              <w:rPr>
                <w:rFonts w:hint="cs"/>
                <w:szCs w:val="24"/>
                <w:rtl/>
              </w:rPr>
              <w:t xml:space="preserve">בתיקים </w:t>
            </w:r>
            <w:r>
              <w:rPr>
                <w:szCs w:val="24"/>
                <w:rtl/>
              </w:rPr>
              <w:t>מתקבלות על ידי הלשכה המשפטית</w:t>
            </w:r>
            <w:r>
              <w:rPr>
                <w:rFonts w:hint="cs"/>
                <w:szCs w:val="24"/>
                <w:rtl/>
              </w:rPr>
              <w:t>, בין היתר,</w:t>
            </w:r>
            <w:r>
              <w:rPr>
                <w:szCs w:val="24"/>
                <w:rtl/>
              </w:rPr>
              <w:t xml:space="preserve"> בהתאם להמלצת התובעים חיצוניים</w:t>
            </w:r>
            <w:r>
              <w:rPr>
                <w:rFonts w:hint="cs"/>
                <w:szCs w:val="24"/>
                <w:rtl/>
              </w:rPr>
              <w:t xml:space="preserve"> שבחנו אותם</w:t>
            </w:r>
            <w:r>
              <w:rPr>
                <w:szCs w:val="24"/>
                <w:rtl/>
              </w:rPr>
              <w:t>.</w:t>
            </w:r>
          </w:p>
          <w:p w:rsidR="00A33F69" w:rsidRPr="00DD6236" w:rsidRDefault="00A33F69" w:rsidP="00A9789E">
            <w:pPr>
              <w:spacing w:line="360" w:lineRule="auto"/>
              <w:jc w:val="both"/>
              <w:rPr>
                <w:szCs w:val="24"/>
                <w:rtl/>
              </w:rPr>
            </w:pPr>
          </w:p>
        </w:tc>
      </w:tr>
      <w:tr w:rsidR="00A33F69" w:rsidRPr="006472BB" w:rsidTr="00A9789E">
        <w:tc>
          <w:tcPr>
            <w:tcW w:w="905" w:type="dxa"/>
          </w:tcPr>
          <w:p w:rsidR="00A33F69" w:rsidRDefault="00A33F69" w:rsidP="00A9789E">
            <w:pPr>
              <w:ind w:left="360"/>
              <w:jc w:val="center"/>
              <w:rPr>
                <w:szCs w:val="24"/>
                <w:rtl/>
              </w:rPr>
            </w:pPr>
            <w:r>
              <w:rPr>
                <w:rFonts w:hint="cs"/>
                <w:szCs w:val="24"/>
                <w:rtl/>
              </w:rPr>
              <w:t>6</w:t>
            </w:r>
          </w:p>
        </w:tc>
        <w:tc>
          <w:tcPr>
            <w:tcW w:w="6073" w:type="dxa"/>
          </w:tcPr>
          <w:p w:rsidR="00A33F69" w:rsidRDefault="00A33F69" w:rsidP="00A9789E">
            <w:pPr>
              <w:spacing w:line="360" w:lineRule="auto"/>
              <w:jc w:val="both"/>
              <w:rPr>
                <w:szCs w:val="24"/>
                <w:rtl/>
              </w:rPr>
            </w:pPr>
            <w:r>
              <w:rPr>
                <w:rFonts w:hint="cs"/>
                <w:szCs w:val="24"/>
                <w:rtl/>
              </w:rPr>
              <w:t xml:space="preserve">האם המשרד ישלם על לימוד תיק והכנת מזכר השלמת חקירה? </w:t>
            </w:r>
          </w:p>
        </w:tc>
        <w:tc>
          <w:tcPr>
            <w:tcW w:w="7655" w:type="dxa"/>
          </w:tcPr>
          <w:p w:rsidR="00A33F69" w:rsidRDefault="00A33F69" w:rsidP="00A9789E">
            <w:pPr>
              <w:rPr>
                <w:szCs w:val="24"/>
                <w:rtl/>
              </w:rPr>
            </w:pPr>
            <w:r>
              <w:rPr>
                <w:rFonts w:hint="cs"/>
                <w:szCs w:val="24"/>
                <w:rtl/>
              </w:rPr>
              <w:t>המשרד לא משלם על לימוד תיק. כעיקרון לימוד תיק מוליד פעולה מתומחרת, למשל סגירת תיק או הגשת כתב אישום. עם זאת, אם לאחר לימוד תיק יתעורר הצורך בהשלמת חקירה מהותית, המשרד מתכוון לשלם על הכנת מזכר מפורט לביצוע השלמות חקירה סך של 750 ₪ (לפני מע"מ</w:t>
            </w:r>
            <w:r w:rsidRPr="00D8777B">
              <w:rPr>
                <w:rFonts w:hint="cs"/>
                <w:b/>
                <w:bCs/>
                <w:szCs w:val="24"/>
                <w:rtl/>
              </w:rPr>
              <w:t xml:space="preserve">). </w:t>
            </w:r>
            <w:r>
              <w:rPr>
                <w:rFonts w:hint="cs"/>
                <w:b/>
                <w:bCs/>
                <w:szCs w:val="24"/>
                <w:rtl/>
              </w:rPr>
              <w:t>מסמכי המכרז תוקנו בהתאם.</w:t>
            </w:r>
          </w:p>
        </w:tc>
      </w:tr>
      <w:tr w:rsidR="00A33F69" w:rsidRPr="006472BB" w:rsidTr="00A9789E">
        <w:tc>
          <w:tcPr>
            <w:tcW w:w="905" w:type="dxa"/>
          </w:tcPr>
          <w:p w:rsidR="00A33F69" w:rsidRDefault="00A33F69" w:rsidP="00A9789E">
            <w:pPr>
              <w:ind w:left="360"/>
              <w:jc w:val="center"/>
              <w:rPr>
                <w:szCs w:val="24"/>
                <w:rtl/>
              </w:rPr>
            </w:pPr>
            <w:r>
              <w:rPr>
                <w:rFonts w:hint="cs"/>
                <w:szCs w:val="24"/>
                <w:rtl/>
              </w:rPr>
              <w:lastRenderedPageBreak/>
              <w:t>7</w:t>
            </w:r>
          </w:p>
        </w:tc>
        <w:tc>
          <w:tcPr>
            <w:tcW w:w="6073" w:type="dxa"/>
          </w:tcPr>
          <w:p w:rsidR="00A33F69" w:rsidRDefault="00A33F69" w:rsidP="00A9789E">
            <w:pPr>
              <w:spacing w:line="360" w:lineRule="auto"/>
              <w:jc w:val="both"/>
              <w:rPr>
                <w:szCs w:val="24"/>
                <w:rtl/>
              </w:rPr>
            </w:pPr>
            <w:r>
              <w:rPr>
                <w:rFonts w:hint="cs"/>
                <w:szCs w:val="24"/>
                <w:rtl/>
              </w:rPr>
              <w:t>האם בכוונת המשרד לשלם על לימוד מחודש של תיק לאחר השלמות חקירה?</w:t>
            </w:r>
          </w:p>
        </w:tc>
        <w:tc>
          <w:tcPr>
            <w:tcW w:w="7655" w:type="dxa"/>
          </w:tcPr>
          <w:p w:rsidR="00A33F69" w:rsidRDefault="00A33F69" w:rsidP="00A9789E">
            <w:pPr>
              <w:rPr>
                <w:szCs w:val="24"/>
                <w:rtl/>
              </w:rPr>
            </w:pPr>
            <w:r>
              <w:rPr>
                <w:rFonts w:hint="cs"/>
                <w:szCs w:val="24"/>
                <w:rtl/>
              </w:rPr>
              <w:t xml:space="preserve">לא. המשרד לא ישלם על לימוד מחודש של תיק לאחר השלמות חקירה. </w:t>
            </w:r>
          </w:p>
        </w:tc>
      </w:tr>
      <w:tr w:rsidR="00A33F69" w:rsidRPr="006472BB" w:rsidTr="00A9789E">
        <w:tc>
          <w:tcPr>
            <w:tcW w:w="905" w:type="dxa"/>
          </w:tcPr>
          <w:p w:rsidR="00A33F69" w:rsidRDefault="00A33F69" w:rsidP="00A9789E">
            <w:pPr>
              <w:ind w:left="360"/>
              <w:jc w:val="center"/>
              <w:rPr>
                <w:szCs w:val="24"/>
                <w:rtl/>
              </w:rPr>
            </w:pPr>
            <w:r>
              <w:rPr>
                <w:rFonts w:hint="cs"/>
                <w:szCs w:val="24"/>
                <w:rtl/>
              </w:rPr>
              <w:t>8</w:t>
            </w:r>
          </w:p>
        </w:tc>
        <w:tc>
          <w:tcPr>
            <w:tcW w:w="6073" w:type="dxa"/>
          </w:tcPr>
          <w:p w:rsidR="00A33F69" w:rsidRDefault="00A33F69" w:rsidP="00A9789E">
            <w:pPr>
              <w:spacing w:line="360" w:lineRule="auto"/>
              <w:jc w:val="both"/>
              <w:rPr>
                <w:szCs w:val="24"/>
                <w:rtl/>
              </w:rPr>
            </w:pPr>
            <w:r>
              <w:rPr>
                <w:rFonts w:hint="cs"/>
                <w:szCs w:val="24"/>
                <w:rtl/>
              </w:rPr>
              <w:t xml:space="preserve">אם לא יינתן תשלום נוסף בגין דרישה להשלמות חקירה, או בגין לימוד מחודש של תיק לאחר השלמות חקירה, נבקש לדעת מתי ישלם המשרד בעבור השלמת בדיקת התיק? </w:t>
            </w:r>
          </w:p>
        </w:tc>
        <w:tc>
          <w:tcPr>
            <w:tcW w:w="7655" w:type="dxa"/>
          </w:tcPr>
          <w:p w:rsidR="00A33F69" w:rsidRDefault="00A33F69" w:rsidP="00A9789E">
            <w:pPr>
              <w:rPr>
                <w:szCs w:val="24"/>
                <w:rtl/>
              </w:rPr>
            </w:pPr>
            <w:r>
              <w:rPr>
                <w:rFonts w:hint="cs"/>
                <w:szCs w:val="24"/>
                <w:rtl/>
              </w:rPr>
              <w:t xml:space="preserve">ראו תשובה 6, התשלום יתבצע לאחר הגשת דרישה לביצוע השלמות חקירה. </w:t>
            </w:r>
          </w:p>
        </w:tc>
      </w:tr>
      <w:tr w:rsidR="00A33F69" w:rsidRPr="006472BB" w:rsidTr="00A9789E">
        <w:tc>
          <w:tcPr>
            <w:tcW w:w="905" w:type="dxa"/>
          </w:tcPr>
          <w:p w:rsidR="00A33F69" w:rsidRDefault="00A33F69" w:rsidP="00A9789E">
            <w:pPr>
              <w:ind w:left="360"/>
              <w:jc w:val="center"/>
              <w:rPr>
                <w:szCs w:val="24"/>
                <w:rtl/>
              </w:rPr>
            </w:pPr>
            <w:r>
              <w:rPr>
                <w:rFonts w:hint="cs"/>
                <w:szCs w:val="24"/>
                <w:rtl/>
              </w:rPr>
              <w:t>9</w:t>
            </w:r>
          </w:p>
        </w:tc>
        <w:tc>
          <w:tcPr>
            <w:tcW w:w="6073" w:type="dxa"/>
          </w:tcPr>
          <w:p w:rsidR="00A33F69" w:rsidRDefault="00A33F69" w:rsidP="00A9789E">
            <w:pPr>
              <w:spacing w:line="360" w:lineRule="auto"/>
              <w:jc w:val="both"/>
              <w:rPr>
                <w:szCs w:val="24"/>
                <w:rtl/>
              </w:rPr>
            </w:pPr>
            <w:r>
              <w:rPr>
                <w:rFonts w:hint="cs"/>
                <w:szCs w:val="24"/>
                <w:rtl/>
              </w:rPr>
              <w:t xml:space="preserve">האם המשרד מתכוון לשלם בעבור תשובות בכתב לבית משפט כגון, תשובה לטענות מקדמיות, תגובה בכתב לטענה של "אין להשיב לאשמה", סיכומים בכתב, טיעונים לעונש בכתב וכיו"ב? </w:t>
            </w:r>
          </w:p>
        </w:tc>
        <w:tc>
          <w:tcPr>
            <w:tcW w:w="7655" w:type="dxa"/>
          </w:tcPr>
          <w:p w:rsidR="00A33F69" w:rsidRDefault="00A33F69" w:rsidP="00A9789E">
            <w:pPr>
              <w:rPr>
                <w:szCs w:val="24"/>
                <w:rtl/>
              </w:rPr>
            </w:pPr>
            <w:r>
              <w:rPr>
                <w:rFonts w:hint="cs"/>
                <w:szCs w:val="24"/>
                <w:rtl/>
              </w:rPr>
              <w:t xml:space="preserve">. המשרד מתכוון לשלם על  טיעונים מהותיים בכתב שהוגשו לבית המשפט סך של 1,500 ₪ (לפני מע"מ). </w:t>
            </w:r>
            <w:r w:rsidRPr="00320DC2">
              <w:rPr>
                <w:rFonts w:hint="cs"/>
                <w:szCs w:val="24"/>
                <w:rtl/>
              </w:rPr>
              <w:t>התשלום יאושר רק אם ההחלטה על הגשת טיעונים בכתב ביוזמת בית המשפט, ואם לאו, רק באישור הממונה מראש</w:t>
            </w:r>
            <w:r>
              <w:rPr>
                <w:rFonts w:hint="cs"/>
                <w:b/>
                <w:bCs/>
                <w:szCs w:val="24"/>
                <w:rtl/>
              </w:rPr>
              <w:t xml:space="preserve">. </w:t>
            </w:r>
            <w:r w:rsidRPr="008334ED">
              <w:rPr>
                <w:rFonts w:hint="cs"/>
                <w:b/>
                <w:bCs/>
                <w:szCs w:val="24"/>
                <w:rtl/>
              </w:rPr>
              <w:t>מסמכי המכרז תוקנו בהתאם</w:t>
            </w:r>
            <w:r>
              <w:rPr>
                <w:rFonts w:hint="cs"/>
                <w:szCs w:val="24"/>
                <w:rtl/>
              </w:rPr>
              <w:t>.</w:t>
            </w:r>
          </w:p>
        </w:tc>
      </w:tr>
      <w:tr w:rsidR="00A33F69" w:rsidRPr="006472BB" w:rsidTr="00A9789E">
        <w:tc>
          <w:tcPr>
            <w:tcW w:w="905" w:type="dxa"/>
          </w:tcPr>
          <w:p w:rsidR="00A33F69" w:rsidRDefault="00A33F69" w:rsidP="00A9789E">
            <w:pPr>
              <w:ind w:left="360"/>
              <w:jc w:val="center"/>
              <w:rPr>
                <w:szCs w:val="24"/>
                <w:rtl/>
              </w:rPr>
            </w:pPr>
            <w:r>
              <w:rPr>
                <w:rFonts w:hint="cs"/>
                <w:szCs w:val="24"/>
                <w:rtl/>
              </w:rPr>
              <w:t>10</w:t>
            </w:r>
          </w:p>
        </w:tc>
        <w:tc>
          <w:tcPr>
            <w:tcW w:w="6073" w:type="dxa"/>
          </w:tcPr>
          <w:p w:rsidR="00A33F69" w:rsidRDefault="00A33F69" w:rsidP="00A9789E">
            <w:pPr>
              <w:spacing w:line="360" w:lineRule="auto"/>
              <w:jc w:val="both"/>
              <w:rPr>
                <w:szCs w:val="24"/>
                <w:rtl/>
              </w:rPr>
            </w:pPr>
            <w:r>
              <w:rPr>
                <w:rFonts w:hint="cs"/>
                <w:szCs w:val="24"/>
                <w:rtl/>
              </w:rPr>
              <w:t xml:space="preserve">האם המשרד מתכוון לשלם בעבור טיעונים בעל פה במהלך דיון בבית משפט? </w:t>
            </w:r>
          </w:p>
        </w:tc>
        <w:tc>
          <w:tcPr>
            <w:tcW w:w="7655" w:type="dxa"/>
          </w:tcPr>
          <w:p w:rsidR="00A33F69" w:rsidRDefault="00A33F69" w:rsidP="00A9789E">
            <w:pPr>
              <w:rPr>
                <w:szCs w:val="24"/>
                <w:rtl/>
              </w:rPr>
            </w:pPr>
            <w:r>
              <w:rPr>
                <w:rFonts w:hint="cs"/>
                <w:szCs w:val="24"/>
                <w:rtl/>
              </w:rPr>
              <w:t xml:space="preserve">כל ישיבה שיטענו בה טיעונים משפטיים מהותיים מכל סוג בע"פ תיחשב כישיבת הוכחות המתומחרת בנספח התעריפים. לא ישולם תשלום נוסף.  </w:t>
            </w:r>
          </w:p>
        </w:tc>
      </w:tr>
      <w:tr w:rsidR="00A33F69" w:rsidRPr="006472BB" w:rsidTr="00A9789E">
        <w:tc>
          <w:tcPr>
            <w:tcW w:w="905" w:type="dxa"/>
          </w:tcPr>
          <w:p w:rsidR="00A33F69" w:rsidRDefault="00A33F69" w:rsidP="00A9789E">
            <w:pPr>
              <w:ind w:left="360"/>
              <w:jc w:val="center"/>
              <w:rPr>
                <w:szCs w:val="24"/>
                <w:rtl/>
              </w:rPr>
            </w:pPr>
            <w:r>
              <w:rPr>
                <w:rFonts w:hint="cs"/>
                <w:szCs w:val="24"/>
                <w:rtl/>
              </w:rPr>
              <w:t>11</w:t>
            </w:r>
          </w:p>
        </w:tc>
        <w:tc>
          <w:tcPr>
            <w:tcW w:w="6073" w:type="dxa"/>
          </w:tcPr>
          <w:p w:rsidR="00A33F69" w:rsidRDefault="00A33F69" w:rsidP="00A9789E">
            <w:pPr>
              <w:spacing w:line="360" w:lineRule="auto"/>
              <w:jc w:val="both"/>
              <w:rPr>
                <w:szCs w:val="24"/>
                <w:rtl/>
              </w:rPr>
            </w:pPr>
            <w:r>
              <w:rPr>
                <w:rFonts w:hint="cs"/>
                <w:szCs w:val="24"/>
                <w:rtl/>
              </w:rPr>
              <w:t xml:space="preserve">האם ניתן לדחות התקנת הכספת המוזכרת בסעיף 11ט(כ"א) במכרז במשרדים החדשים שהמשרד מתכוון לעבור אליהם בשנה הבאה? </w:t>
            </w:r>
          </w:p>
        </w:tc>
        <w:tc>
          <w:tcPr>
            <w:tcW w:w="7655" w:type="dxa"/>
          </w:tcPr>
          <w:p w:rsidR="00A33F69" w:rsidRDefault="00A33F69" w:rsidP="00A9789E">
            <w:pPr>
              <w:rPr>
                <w:szCs w:val="24"/>
                <w:rtl/>
              </w:rPr>
            </w:pPr>
            <w:r>
              <w:rPr>
                <w:rFonts w:hint="cs"/>
                <w:szCs w:val="24"/>
                <w:rtl/>
              </w:rPr>
              <w:t xml:space="preserve">לא ניתן. התקנת הכספת האמורה היא תנאי לביצוע ההתקשרות וחתימה על ההסכם. </w:t>
            </w:r>
          </w:p>
        </w:tc>
      </w:tr>
    </w:tbl>
    <w:p w:rsidR="00A33F69" w:rsidRPr="006472BB" w:rsidRDefault="00A33F69" w:rsidP="00A33F69">
      <w:pPr>
        <w:rPr>
          <w:szCs w:val="24"/>
        </w:rPr>
      </w:pPr>
    </w:p>
    <w:p w:rsidR="00A33F69" w:rsidRPr="00B3762A" w:rsidRDefault="00A33F69" w:rsidP="00A33F69">
      <w:pPr>
        <w:rPr>
          <w:szCs w:val="24"/>
          <w:rtl/>
        </w:rPr>
      </w:pPr>
    </w:p>
    <w:p w:rsidR="00F42907" w:rsidRDefault="00F42907" w:rsidP="00A33F69">
      <w:pPr>
        <w:rPr>
          <w:szCs w:val="24"/>
          <w:rtl/>
        </w:rPr>
      </w:pPr>
    </w:p>
    <w:p w:rsidR="008A7764" w:rsidRPr="00A33F69" w:rsidRDefault="008A7764" w:rsidP="00A33F69">
      <w:pPr>
        <w:rPr>
          <w:szCs w:val="24"/>
          <w:rtl/>
        </w:rPr>
      </w:pPr>
      <w:r>
        <w:rPr>
          <w:rFonts w:hint="cs"/>
          <w:szCs w:val="24"/>
          <w:rtl/>
        </w:rPr>
        <w:t>תשומת לב המציעים לשינויים שבוצעו במסמכי המכרז. באחריות המציעים להוריד את נוסח המכרז המעודכן מאתר המשרד, ולפעול על פיו בלבד.</w:t>
      </w:r>
    </w:p>
    <w:sectPr w:rsidR="008A7764" w:rsidRPr="00A33F69" w:rsidSect="001A4821">
      <w:headerReference w:type="even" r:id="rId12"/>
      <w:headerReference w:type="default" r:id="rId13"/>
      <w:footerReference w:type="default" r:id="rId14"/>
      <w:headerReference w:type="first" r:id="rId15"/>
      <w:footerReference w:type="first" r:id="rId16"/>
      <w:pgSz w:w="16838" w:h="11906" w:orient="landscape"/>
      <w:pgMar w:top="1474" w:right="1440" w:bottom="1474" w:left="1843"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13688" w:rsidRDefault="00113688">
      <w:r>
        <w:separator/>
      </w:r>
    </w:p>
  </w:endnote>
  <w:endnote w:type="continuationSeparator" w:id="0">
    <w:p w:rsidR="00113688" w:rsidRDefault="0011368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4C00" w:rsidRDefault="00674C00" w:rsidP="00F757BF">
    <w:pPr>
      <w:pStyle w:val="a7"/>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674C00" w:rsidRPr="00FC5DE0" w:rsidRDefault="00674C00" w:rsidP="00F757BF">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674C00" w:rsidRPr="00F757BF" w:rsidRDefault="00674C00" w:rsidP="00F757BF">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4C00" w:rsidRDefault="00674C00" w:rsidP="008C31B3">
    <w:pPr>
      <w:pStyle w:val="a7"/>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674C00" w:rsidRPr="00FC5DE0" w:rsidRDefault="00674C00" w:rsidP="00F757BF">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13688" w:rsidRDefault="00113688">
      <w:r>
        <w:separator/>
      </w:r>
    </w:p>
  </w:footnote>
  <w:footnote w:type="continuationSeparator" w:id="0">
    <w:p w:rsidR="00113688" w:rsidRDefault="0011368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4C00" w:rsidRDefault="008A0800">
    <w:pPr>
      <w:pStyle w:val="a3"/>
      <w:framePr w:wrap="around" w:vAnchor="text" w:hAnchor="margin" w:xAlign="center" w:y="1"/>
      <w:rPr>
        <w:rStyle w:val="a6"/>
        <w:rtl/>
      </w:rPr>
    </w:pPr>
    <w:r>
      <w:rPr>
        <w:rStyle w:val="a6"/>
        <w:rtl/>
      </w:rPr>
      <w:fldChar w:fldCharType="begin"/>
    </w:r>
    <w:r w:rsidR="00674C00">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4C00" w:rsidRPr="00D3749A" w:rsidRDefault="00674C00"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8A0800" w:rsidRPr="00D3749A">
          <w:rPr>
            <w:b/>
            <w:bCs/>
          </w:rPr>
          <w:fldChar w:fldCharType="begin"/>
        </w:r>
        <w:r w:rsidRPr="00D3749A">
          <w:rPr>
            <w:b/>
            <w:bCs/>
          </w:rPr>
          <w:instrText xml:space="preserve"> PAGE   \* MERGEFORMAT </w:instrText>
        </w:r>
        <w:r w:rsidR="008A0800" w:rsidRPr="00D3749A">
          <w:rPr>
            <w:b/>
            <w:bCs/>
          </w:rPr>
          <w:fldChar w:fldCharType="separate"/>
        </w:r>
        <w:r w:rsidR="00C92A59" w:rsidRPr="00C92A59">
          <w:rPr>
            <w:rFonts w:cs="Calibri"/>
            <w:b/>
            <w:bCs/>
            <w:noProof/>
            <w:rtl/>
            <w:lang w:val="he-IL"/>
          </w:rPr>
          <w:t>2</w:t>
        </w:r>
        <w:r w:rsidR="008A0800" w:rsidRPr="00D3749A">
          <w:rPr>
            <w:b/>
            <w:bCs/>
          </w:rPr>
          <w:fldChar w:fldCharType="end"/>
        </w:r>
        <w:r w:rsidRPr="00D3749A">
          <w:rPr>
            <w:rFonts w:hint="cs"/>
            <w:b/>
            <w:bCs/>
            <w:rtl/>
          </w:rPr>
          <w:t xml:space="preserve"> -</w:t>
        </w:r>
      </w:sdtContent>
    </w:sdt>
  </w:p>
  <w:p w:rsidR="00674C00" w:rsidRPr="008B766D" w:rsidRDefault="00674C00"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4C00" w:rsidRDefault="008A0800" w:rsidP="00EA4FBF">
    <w:pPr>
      <w:pStyle w:val="a3"/>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322.2pt;margin-top:-27.6pt;width:40.05pt;height:47.55pt;z-index:251663872;visibility:visible;mso-wrap-edited:f">
          <v:imagedata r:id="rId1" o:title=""/>
          <w10:wrap type="topAndBottom"/>
        </v:shape>
        <o:OLEObject Type="Embed" ProgID="Word.Picture.8" ShapeID="_x0000_s2049" DrawAspect="Content" ObjectID="_1415107314" r:id="rId2"/>
      </w:pict>
    </w:r>
  </w:p>
  <w:p w:rsidR="00674C00" w:rsidRDefault="00674C00" w:rsidP="00EA4FBF">
    <w:pPr>
      <w:pStyle w:val="a3"/>
      <w:spacing w:line="276" w:lineRule="auto"/>
      <w:jc w:val="center"/>
      <w:rPr>
        <w:b/>
        <w:bCs/>
        <w:szCs w:val="40"/>
        <w:rtl/>
      </w:rPr>
    </w:pPr>
    <w:r>
      <w:rPr>
        <w:b/>
        <w:bCs/>
        <w:szCs w:val="40"/>
        <w:rtl/>
      </w:rPr>
      <w:t>מדינת ישראל</w:t>
    </w:r>
  </w:p>
  <w:p w:rsidR="00674C00" w:rsidRDefault="00674C00"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35C50BAA"/>
    <w:multiLevelType w:val="hybridMultilevel"/>
    <w:tmpl w:val="753CEE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7"/>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rsids>
    <w:rsidRoot w:val="00F42907"/>
    <w:rsid w:val="0000576F"/>
    <w:rsid w:val="00053498"/>
    <w:rsid w:val="00055768"/>
    <w:rsid w:val="00064800"/>
    <w:rsid w:val="000705A8"/>
    <w:rsid w:val="000744F2"/>
    <w:rsid w:val="00084894"/>
    <w:rsid w:val="0009042F"/>
    <w:rsid w:val="0009109A"/>
    <w:rsid w:val="000A474B"/>
    <w:rsid w:val="000C3008"/>
    <w:rsid w:val="000C47C5"/>
    <w:rsid w:val="000F0C8E"/>
    <w:rsid w:val="00113688"/>
    <w:rsid w:val="00144716"/>
    <w:rsid w:val="001617C9"/>
    <w:rsid w:val="0016193E"/>
    <w:rsid w:val="001858F8"/>
    <w:rsid w:val="001A0FEB"/>
    <w:rsid w:val="001A4821"/>
    <w:rsid w:val="001B2F89"/>
    <w:rsid w:val="001E6F0E"/>
    <w:rsid w:val="00222968"/>
    <w:rsid w:val="00223E43"/>
    <w:rsid w:val="0022754A"/>
    <w:rsid w:val="00246188"/>
    <w:rsid w:val="002D3504"/>
    <w:rsid w:val="00311B81"/>
    <w:rsid w:val="00320EE5"/>
    <w:rsid w:val="00321798"/>
    <w:rsid w:val="00340E66"/>
    <w:rsid w:val="00376817"/>
    <w:rsid w:val="003A30BD"/>
    <w:rsid w:val="003D0FDE"/>
    <w:rsid w:val="004507AE"/>
    <w:rsid w:val="00457790"/>
    <w:rsid w:val="0047091B"/>
    <w:rsid w:val="004B49E7"/>
    <w:rsid w:val="004B5ED3"/>
    <w:rsid w:val="00524880"/>
    <w:rsid w:val="00533FCA"/>
    <w:rsid w:val="0054114E"/>
    <w:rsid w:val="0054428A"/>
    <w:rsid w:val="00572795"/>
    <w:rsid w:val="00581672"/>
    <w:rsid w:val="005A0DC2"/>
    <w:rsid w:val="005D5135"/>
    <w:rsid w:val="005E1D69"/>
    <w:rsid w:val="005E5E77"/>
    <w:rsid w:val="00610303"/>
    <w:rsid w:val="00624679"/>
    <w:rsid w:val="006426A9"/>
    <w:rsid w:val="006500F2"/>
    <w:rsid w:val="00674C00"/>
    <w:rsid w:val="0069709F"/>
    <w:rsid w:val="006B7F74"/>
    <w:rsid w:val="006C2C32"/>
    <w:rsid w:val="006E72C5"/>
    <w:rsid w:val="00712673"/>
    <w:rsid w:val="0071514A"/>
    <w:rsid w:val="00721721"/>
    <w:rsid w:val="00721AFA"/>
    <w:rsid w:val="00740D98"/>
    <w:rsid w:val="00755CF3"/>
    <w:rsid w:val="00771F8F"/>
    <w:rsid w:val="007849A9"/>
    <w:rsid w:val="0078568E"/>
    <w:rsid w:val="007A76DF"/>
    <w:rsid w:val="007B301D"/>
    <w:rsid w:val="00802BA6"/>
    <w:rsid w:val="00811390"/>
    <w:rsid w:val="00817153"/>
    <w:rsid w:val="00824DD5"/>
    <w:rsid w:val="0082773F"/>
    <w:rsid w:val="0086169C"/>
    <w:rsid w:val="00861DDB"/>
    <w:rsid w:val="008675F8"/>
    <w:rsid w:val="008A0800"/>
    <w:rsid w:val="008A7764"/>
    <w:rsid w:val="008B766D"/>
    <w:rsid w:val="008C2B14"/>
    <w:rsid w:val="008C31B3"/>
    <w:rsid w:val="008F164D"/>
    <w:rsid w:val="00900B65"/>
    <w:rsid w:val="00901041"/>
    <w:rsid w:val="00911C83"/>
    <w:rsid w:val="00924837"/>
    <w:rsid w:val="009407CF"/>
    <w:rsid w:val="00941814"/>
    <w:rsid w:val="00956911"/>
    <w:rsid w:val="00964B15"/>
    <w:rsid w:val="00993B88"/>
    <w:rsid w:val="009C1E95"/>
    <w:rsid w:val="009F25EB"/>
    <w:rsid w:val="009F2EC3"/>
    <w:rsid w:val="00A0165F"/>
    <w:rsid w:val="00A107E7"/>
    <w:rsid w:val="00A32262"/>
    <w:rsid w:val="00A33F69"/>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3762A"/>
    <w:rsid w:val="00B60E2D"/>
    <w:rsid w:val="00B84B35"/>
    <w:rsid w:val="00BD2F04"/>
    <w:rsid w:val="00BE2711"/>
    <w:rsid w:val="00BF712F"/>
    <w:rsid w:val="00C15681"/>
    <w:rsid w:val="00C33B51"/>
    <w:rsid w:val="00C5046C"/>
    <w:rsid w:val="00C516A1"/>
    <w:rsid w:val="00C668B6"/>
    <w:rsid w:val="00C80A56"/>
    <w:rsid w:val="00C80AD2"/>
    <w:rsid w:val="00C80CDB"/>
    <w:rsid w:val="00C91F7F"/>
    <w:rsid w:val="00C92A59"/>
    <w:rsid w:val="00CA2BA0"/>
    <w:rsid w:val="00CB33E5"/>
    <w:rsid w:val="00CC6720"/>
    <w:rsid w:val="00D2513A"/>
    <w:rsid w:val="00D35E0D"/>
    <w:rsid w:val="00D3749A"/>
    <w:rsid w:val="00D37641"/>
    <w:rsid w:val="00D732B0"/>
    <w:rsid w:val="00DD6236"/>
    <w:rsid w:val="00DD792B"/>
    <w:rsid w:val="00DE05FC"/>
    <w:rsid w:val="00E001A4"/>
    <w:rsid w:val="00E90583"/>
    <w:rsid w:val="00EA4FBF"/>
    <w:rsid w:val="00EB319A"/>
    <w:rsid w:val="00EC6CEF"/>
    <w:rsid w:val="00ED37B2"/>
    <w:rsid w:val="00F076B3"/>
    <w:rsid w:val="00F14C94"/>
    <w:rsid w:val="00F41F84"/>
    <w:rsid w:val="00F42907"/>
    <w:rsid w:val="00F5586C"/>
    <w:rsid w:val="00F63432"/>
    <w:rsid w:val="00F757BF"/>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link w:val="20"/>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character" w:customStyle="1" w:styleId="20">
    <w:name w:val="כותרת 2 תו"/>
    <w:basedOn w:val="a0"/>
    <w:link w:val="2"/>
    <w:rsid w:val="001A4821"/>
    <w:rPr>
      <w:rFonts w:cs="David"/>
      <w:b/>
      <w:bCs/>
      <w:sz w:val="24"/>
      <w:szCs w:val="26"/>
    </w:rPr>
  </w:style>
  <w:style w:type="paragraph" w:styleId="ab">
    <w:name w:val="List Paragraph"/>
    <w:basedOn w:val="a"/>
    <w:uiPriority w:val="34"/>
    <w:qFormat/>
    <w:rsid w:val="001A482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08802440">
      <w:bodyDiv w:val="1"/>
      <w:marLeft w:val="0"/>
      <w:marRight w:val="0"/>
      <w:marTop w:val="0"/>
      <w:marBottom w:val="0"/>
      <w:divBdr>
        <w:top w:val="none" w:sz="0" w:space="0" w:color="auto"/>
        <w:left w:val="none" w:sz="0" w:space="0" w:color="auto"/>
        <w:bottom w:val="none" w:sz="0" w:space="0" w:color="auto"/>
        <w:right w:val="none" w:sz="0" w:space="0" w:color="auto"/>
      </w:divBdr>
    </w:div>
    <w:div w:id="970787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21"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לובנה קאדרי</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חת_741_2012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20 בנובמבר 2012</DocumentCreateDateEnglish>
    <DocumentCreateDateHebrew xmlns="8f5b83e0-a1d3-486c-bd07-833a425c74af">ו' בכסלו התשע"ג</DocumentCreateDateHebrew>
    <SubjectDocument xmlns="8f5b83e0-a1d3-486c-bd07-833a425c74af">שאלות ותשובות במכרז 44/12</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20/11/2012 11:05;30</LastCheckInDate>
    <LastPublishUser xmlns="8f5b83e0-a1d3-486c-bd07-833a425c74af" xsi:nil="true"/>
    <FullNameCC xmlns="8f5b83e0-a1d3-486c-bd07-833a425c74af">.</FullNameCC>
    <LastCheckInUser xmlns="8f5b83e0-a1d3-486c-bd07-833a425c74af">לובנה קאדרי</LastCheckInUser>
    <CounterString xmlns="8f5b83e0-a1d3-486c-bd07-833a425c74af">741</CounterString>
    <LastLockUser xmlns="8f5b83e0-a1d3-486c-bd07-833a425c74af" xsi:nil="true"/>
    <LastCheckOutDate xmlns="8f5b83e0-a1d3-486c-bd07-833a425c74af">20/11/2012 10:42;57</LastCheckOutDate>
    <LastCheckOutUser xmlns="8f5b83e0-a1d3-486c-bd07-833a425c74af">לובנה קאדרי</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110</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HT_741_2012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2012-11-20T00:00:00+00:00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E36BE961-2E3A-425C-AFFB-31E70E3A04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95EAEF6E-346A-42C3-8947-BBEE966EFC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464</Words>
  <Characters>2649</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3107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2012-11-22T14:35:00Z</cp:lastPrinted>
  <dcterms:created xsi:type="dcterms:W3CDTF">2012-11-22T14:35:00Z</dcterms:created>
  <dcterms:modified xsi:type="dcterms:W3CDTF">2012-11-22T14:35:00Z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